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32773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B70AE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D77B9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英語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</w:t>
      </w:r>
      <w:bookmarkStart w:id="0" w:name="_GoBack"/>
      <w:bookmarkEnd w:id="0"/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AA5507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□國語文■英語文□數學□社會(□歷史□地理□公民與社會)□自然科學(□理化□生物□地球科學)</w:t>
            </w:r>
          </w:p>
          <w:p w:rsidR="003F5D61" w:rsidRPr="003F5D61" w:rsidRDefault="003F5D61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AA5507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692BBD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6C61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AA5507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510B99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2773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AA5507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英-J-A2 具備系統性理解與推演的能力，能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清文本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訊息間的關係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進行推論，並能經由訊息的比較，對國內外文化的異同有初步的了解。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英-J-A3 具備簡易規劃英語文學習時程的能力，並能檢討調整。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所學字詞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、句型及肢體語言進行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切合宜的溝通與互動。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英-J-C2 積極參與課內及課外英語文團體學習活動，培養團隊合作精神。</w:t>
            </w:r>
          </w:p>
          <w:p w:rsidR="00521E1E" w:rsidRDefault="006C61ED" w:rsidP="005850E2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3F5D61" w:rsidRPr="003F5D61" w:rsidTr="00AA5507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94FED" w:rsidRDefault="0047709F" w:rsidP="00B70AE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50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語言工具及語言使用，輔以真實語境發展之生活溝通主題對話、閱讀、聽力、寫作及表達等學習素材，包含親屬關係、職業、年紀、位置、建議、星期、節慶、旅遊、動物關係等主題，達到自我介紹、招呼、表達請求/建議、描述地點/時間、簡易報導進行中的活動等溝通功能。</w:t>
            </w:r>
          </w:p>
          <w:p w:rsidR="000B6B1C" w:rsidRDefault="00794FED" w:rsidP="00B70AE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本學期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</w:t>
            </w:r>
            <w:r w:rsid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</w:t>
            </w:r>
            <w:r w:rsidR="003A76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英語文聽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、說、讀、寫的能力，且能應用於日常生活</w:t>
            </w:r>
            <w:r w:rsidR="008749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中進行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溝通，藉以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提升學習英語文的</w:t>
            </w:r>
            <w:proofErr w:type="gramStart"/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興趣並涵育</w:t>
            </w:r>
            <w:proofErr w:type="gramEnd"/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積極的學習態度，</w:t>
            </w:r>
            <w:r w:rsidR="008749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使學生能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主動涉獵各領域知</w:t>
            </w:r>
            <w:r w:rsidR="003A76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識。建構有效的英語文學習方法，強化自學能力，奠定終身學習之基礎；</w:t>
            </w:r>
            <w:r w:rsidR="008749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尊重與</w:t>
            </w:r>
            <w:r w:rsidR="000D40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悅納多元文化，進一步培養學生的國際視野與全球永續發展的世界觀，</w:t>
            </w:r>
            <w:r w:rsidR="003A76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</w:t>
            </w:r>
            <w:r w:rsidR="008749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以英語文進行邏輯思考、分析、整合與創新的能力。</w:t>
            </w:r>
          </w:p>
          <w:p w:rsidR="00E87B03" w:rsidRDefault="00E87B03" w:rsidP="00B70AE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232DFB" w:rsidRDefault="00B70AEB" w:rsidP="00B70AE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課程目標從自我描述到事務常態性及意見發表的溝通進行聽、說、讀、寫能力的加強，並建構文化溝通的初階表達力。主題包含生活作息、文學欣賞、藝術賞析、數量描述、食譜判讀、自然景觀、交通旅遊經驗、文化習俗等，藉由課程內涵及自然語境累積能表達頻率、數量、過去狀態、詢問喜好等溝通功能。語言作為溝通工具則從現在簡單式、現在進行式、頻率副詞、詢問數量、過去式、交通工具等面向學習聽說讀寫之input及output的溝通力。</w:t>
            </w:r>
          </w:p>
          <w:p w:rsidR="00B70AEB" w:rsidRPr="00232DFB" w:rsidRDefault="00232DFB" w:rsidP="00B70AE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本學期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</w:t>
            </w:r>
            <w:r w:rsid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藉文本主題及活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動促進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英語文聽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、說、讀、寫能力，使學生能應用於日常生活溝通的自然語境中</w:t>
            </w:r>
            <w:r w:rsidR="00E87B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以提升學生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學習英語文的興趣並於各類語言策略間強化積極學習態度</w:t>
            </w:r>
            <w:r w:rsidR="00E87B0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；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藉由各單元設計協助建構有效的英語文學習方法，培養自學力。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文本設計於</w:t>
            </w:r>
            <w:proofErr w:type="gramStart"/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各課次強調</w:t>
            </w:r>
            <w:proofErr w:type="gramEnd"/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尊重與悅納多元文化，結合各國文化習俗與價值觀之內涵設計，培養國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際觀及全球永續的世界觀</w:t>
            </w:r>
            <w:r w:rsidR="003A76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B70AEB"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逐漸累積語言作為工具的學習策略，結合跨領域之藝術、文學、自然、文化構面之素養。</w:t>
            </w:r>
          </w:p>
        </w:tc>
      </w:tr>
      <w:tr w:rsidR="00AA5507" w:rsidRPr="003F5D61" w:rsidTr="00B70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507" w:rsidRPr="003F5D61" w:rsidRDefault="00AA5507" w:rsidP="00794F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AA5507" w:rsidRPr="003F5D61" w:rsidRDefault="00AA5507" w:rsidP="00794F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507" w:rsidRPr="003F5D61" w:rsidRDefault="00AA5507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AA5507" w:rsidRPr="00287C65" w:rsidRDefault="00AA5507" w:rsidP="005850E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507" w:rsidRPr="003F5D61" w:rsidRDefault="00AA5507" w:rsidP="00794FE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507" w:rsidRPr="003F5D61" w:rsidRDefault="00AA5507" w:rsidP="00794F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507" w:rsidRPr="003F5D61" w:rsidRDefault="00AA5507" w:rsidP="005850E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507" w:rsidRPr="003F5D61" w:rsidRDefault="00AA5507" w:rsidP="00794F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AA5507" w:rsidRPr="003F5D61" w:rsidTr="00B70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507" w:rsidRPr="003F5D61" w:rsidRDefault="00AA5507" w:rsidP="0079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07" w:rsidRPr="003F5D61" w:rsidRDefault="00AA5507" w:rsidP="005850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07" w:rsidRPr="003F5D61" w:rsidRDefault="00AA5507" w:rsidP="00794FE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A5507" w:rsidRPr="003F5D61" w:rsidRDefault="00AA5507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AA5507" w:rsidRDefault="00AA5507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A5507" w:rsidRPr="003F5D61" w:rsidRDefault="00AA5507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07" w:rsidRPr="003F5D61" w:rsidRDefault="00AA5507" w:rsidP="00794F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07" w:rsidRPr="003F5D61" w:rsidRDefault="00AA5507" w:rsidP="00794F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507" w:rsidRPr="003F5D61" w:rsidRDefault="00AA5507" w:rsidP="00794F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複習國小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Starter Unit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3-IV-5 能看懂簡易的生活用語。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5-IV-5 能運用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讀出及拼寫英文字詞。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6-IV-5 能主動用各種查詢工具，以了解所接觸的英語文資訊。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7-IV-1 能使用英文字典，配合上下文找出適當的字義。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Ac-IV-2 常見的教室用語。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228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E0404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228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(1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</w:t>
            </w:r>
            <w:r w:rsidR="00E0404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(17</w:t>
            </w:r>
            <w:r w:rsidR="00E04040"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(17</w:t>
            </w:r>
            <w:r w:rsidR="00E04040"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E04040"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E04040"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 家庭的發展歷程。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科技領域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DA6226" w:rsidRDefault="00DA6226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DA6226" w:rsidRPr="00356831" w:rsidRDefault="00DA6226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親屬關係、職業、年紀、人物特徵描述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Who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 That Handsome Boy?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2-IV-4 能以簡易的英語描述自己、家人及朋友。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2-IV-7 能依人、事、時、地、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物作簡易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的提問。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2-IV-10 能以簡易的英語描述圖片。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3-IV-11 能藉圖畫、標題、書名等作合理的猜測。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B-IV-1 自己、家人及朋友簡易描述。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228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性J3 檢視家庭、學校、職場中基於性別刻板印象產生的偏見與歧視。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家J4 對家人愛與關懷的表達。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家J12 家庭生活中的性別角色與分工。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D76C68" w:rsidRDefault="00D76C68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D76C68" w:rsidRPr="00D76C68" w:rsidRDefault="00D76C68" w:rsidP="00D76C6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位置、房間、事物特徵描述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  What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Are Those?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3-IV-15 能分析及判斷文章內容，了解敘述者的觀點、態度及寫作目的。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9-IV-2 能把二至三項訊息加以比較、歸類、排序。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Ab-IV-1 句子的發音、重音及語調。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C-IV-3 文化習俗的了解及尊重。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D-IV-2 二至三項訊息的比較、歸類、排序的方法。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科技領域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Review 1(第一次段考)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7-IV-3 用語言及非語言溝通策略（如請求重述、手勢、表情等）提升溝通效能。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B-IV-1 自己、家人及朋友的簡易描述。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C-IV-5 國際生活禮儀。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圖像符號、建議與規範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Open the magic door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2-IV-11 能參與簡易的英語短劇表演。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3-IV-3 能看懂簡易的英文標示。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6-IV-4 樂於接觸課外的英語文多元素材，如歌曲、英語學習雜誌、漫畫、短片、廣播、網路等。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Ac-IV-1 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會領域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圖像符號、建議與規範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Open the magic door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2-IV-11 能參與簡易的英語短劇表演。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3-IV-3 能看懂簡易的英文標示。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6-IV-4 樂於接觸課外的英語文多元素材，如歌曲、英語學習雜誌、漫畫、短片、廣播、網路等。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Ac-IV-1 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364207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會領域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自然科學領域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圖像符號、建議與規範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Open the magic door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2-IV-11 能參與簡易的英語短劇表演。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3-IV-3 能看懂簡易的英文標示。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6-IV-4 樂於接觸課外的英語文多元素材，如歌曲、英語學習雜誌、漫畫、短片、廣播、網路等。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Ac-IV-1 簡易的英文標示。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會領域</w:t>
            </w:r>
          </w:p>
        </w:tc>
      </w:tr>
      <w:tr w:rsidR="00B70AEB" w:rsidRPr="003F5D61" w:rsidTr="00191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740FE2" w:rsidRDefault="00740FE2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740FE2" w:rsidRPr="00356831" w:rsidRDefault="00740FE2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星期、時間、見面會、報導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  What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Time Is the Concert?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Ab-IV-1 句子的發音、重音及語調。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戶J2 從環境中捕獲心靈面的喜悅。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 及校外教學，認識 臺灣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 產，如國家公園及國家風景區及國家森林公園等。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樂領域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(第二次段考)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IV-7 能聽懂日常生活對話，並能以簡單的字詞、句子記下要點。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IV-11 能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 主動從網 或其他課外材料，搜尋相關英語文資源，並與教師及同學分享。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能綜合相關資訊作合理的猜測。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常見的圖表。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67568" w:rsidRDefault="00A67568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A67568" w:rsidRPr="00356831" w:rsidRDefault="00A67568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日期、月份、節慶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5  What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spellStart"/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</w:t>
            </w:r>
            <w:proofErr w:type="spell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the Date?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2-IV-6 能依人、事、時、地、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物作簡易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的描述或回答。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IV-13 能依主題或情境以簡易英語進行日常生活溝通。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IV-12 能熟悉重要的閱讀技巧，如擷取大意、猜測字義、推敲文意、預測後續文意及情節發展等。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3-IV-14 能快速閱讀了解文章重點，並有效應用於廣泛閱讀中。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能以簡易英語介紹國外主要節慶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習俗。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句子的發音、重音及語調。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IV-4 國中階段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 字詞）。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國中階段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IV-5 人、事、時、地、物的描述及問答。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國內外節慶習俗。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C-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IV-4 基本的世界觀。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二至三項訊息的比較、歸類、排序的方法。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B70AEB" w:rsidRPr="00D63BE3" w:rsidRDefault="00B70AEB" w:rsidP="00794FED">
            <w:pPr>
              <w:spacing w:line="260" w:lineRule="exac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228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檔案評量(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color w:val="00000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67568" w:rsidRDefault="00A67568" w:rsidP="006C61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A67568" w:rsidRPr="00356831" w:rsidRDefault="00A67568" w:rsidP="006C61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旅遊、動物關係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There Are Some Elephants over There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3-IV-6 能看懂基本的句型。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3-IV-14 能快速閱讀了解文章重點，並有效應用於廣泛閱讀中。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能綜合相關資訊做合理的猜測。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依綜合資訊做合理猜測。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IV-3 訊息因果關係的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釐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科技領域</w:t>
            </w:r>
          </w:p>
        </w:tc>
      </w:tr>
      <w:tr w:rsidR="00B70AEB" w:rsidRPr="003F5D61" w:rsidTr="00AA5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356831" w:rsidRDefault="00B70AEB" w:rsidP="00CB195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旅遊、動物關係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There Are Some Elephants over There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(第三次段考)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3-IV-6 能看懂基本的句型。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3-IV-14 能快速閱讀了解文章重點，並有效應用於廣泛閱讀中。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能綜合相關資訊做合理的猜測。</w:t>
            </w:r>
          </w:p>
        </w:tc>
        <w:tc>
          <w:tcPr>
            <w:tcW w:w="2662" w:type="dxa"/>
            <w:gridSpan w:val="2"/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依綜合資訊做合理猜測。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IV-3 訊息因果關係的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釐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="0036420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64207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自然科學領域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</w:t>
            </w:r>
          </w:p>
          <w:p w:rsidR="00B70AEB" w:rsidRPr="00D63BE3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科技領域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B70AEB" w:rsidRDefault="00B70AEB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67568" w:rsidRDefault="00A67568" w:rsidP="00A6756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A67568" w:rsidRPr="00A67568" w:rsidRDefault="00A67568" w:rsidP="00A6756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描述外表、休閒活動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  Do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You Like Sports?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J2 具備生涯規劃的知識與概念。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J3 覺察自己的能力與 興趣。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J4 了解自己的人格特質與價值觀。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  <w:proofErr w:type="gramEnd"/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5071C0" w:rsidRDefault="005071C0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5071C0" w:rsidRPr="009A4A2D" w:rsidRDefault="005071C0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描述外表、休閒活動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  Do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You Like Sports?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(20%)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C46EF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C46EF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J2 具備生涯規劃的知識與概念。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J3 覺察自己的能力與 興趣。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J4 了解自己的人格特質與價值觀。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  <w:proofErr w:type="gramEnd"/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生活作息及文學賞析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  How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Often Do You Go to the Library?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【生命教育】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J1 思考所需的基本邏輯能力。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J2 進行思考時的適當情意與態度。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生活作息及文學賞析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  How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Often Do You Go to the Library?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【生命教育】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J1 思考所需的基本邏輯能力。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J2 進行思考時的適當情意與態度。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生活作息及文學賞析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  How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Often Do You Go to the Library?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訊。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【生命教育】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J1 思考所需的基本邏輯能力。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J2 進行思考時的適當情意與態度。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1（第一次段考）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7-IV-3 用語言及非語言溝通策略（如請求重述、手勢、表情等）提升溝通效能。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常見的生活用語。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B-IV-1 自己、家人及朋友的簡易描述。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C-IV-5 國際生活禮儀。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食物名稱及畫作欣賞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Which Painting Do You Like?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多J9 關心多元文化議題並做出理性判斷。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數學領域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食物名稱及畫作欣賞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Which Painting Do You Like?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C46EF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C46EF3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多J9 關心多元文化議題並做出理性判斷。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數學領域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食物名稱及畫作欣賞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Which Painting Do You Like?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多J9 關心多元文化議題並做出理性判斷。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數學領域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藝術領域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64591F" w:rsidRDefault="0064591F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4591F" w:rsidRPr="009A4A2D" w:rsidRDefault="0064591F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量詞、食譜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How Much Flour Do You Need?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4-IV-4 能依提示填寫簡單的表格。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Ab-IV-1 句子的發音、重音及語調。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B-IV-4 個人的需求、意願和感受的表達。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家J10 參與家庭與社區的相關活動。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家J11 規劃與執行家庭的各種活動(休閒、節慶等)。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家J12 分析家庭生活與社區的關係，並善用社區資源。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數學領域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量詞、食譜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Unit4   How Much Flour Do You Need?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4-IV-4 能依提示填寫簡單的表格。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Ab-IV-1 句子的發音、重音及語調。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B-IV-4 個人的需求、意願和感受的表達。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家J10 參與家庭與社區的相關活動。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家J11 規劃與執行家庭的各種活動(休閒、節慶等)。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家J12 分析家庭生活與社區的關係，並善用社區資源。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數學領域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2（第二次段考）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5-IV-11 能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6-IV-6 主動從網或其他課外材料，搜尋相關英語文資源，並與教師及同學分享。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綜合領域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64591F" w:rsidRDefault="0064591F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4591F" w:rsidRPr="009A4A2D" w:rsidRDefault="0064591F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環境保護、戶外活動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8A7F10">
              <w:rPr>
                <w:rFonts w:ascii="標楷體" w:eastAsia="標楷體" w:hAnsi="標楷體" w:hint="eastAsia"/>
                <w:szCs w:val="20"/>
              </w:rPr>
              <w:t>5   There Was a Lot of Trash in the Sea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32285F">
              <w:rPr>
                <w:rFonts w:ascii="標楷體" w:eastAsia="標楷體" w:hAnsi="標楷體"/>
                <w:snapToGrid w:val="0"/>
                <w:kern w:val="0"/>
                <w:szCs w:val="20"/>
              </w:rPr>
              <w:t>17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 w:rsidR="000C7D7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</w:t>
            </w: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物福利。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【海洋教育】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海 J2 認識並參與安全的海洋生態旅遊。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【戶外教育】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自然科學領域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Pr="009A4A2D" w:rsidRDefault="00B70AEB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環境</w:t>
            </w:r>
            <w:r w:rsidR="0064591F"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保護、戶外活動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8A7F10">
              <w:rPr>
                <w:rFonts w:ascii="標楷體" w:eastAsia="標楷體" w:hAnsi="標楷體" w:hint="eastAsia"/>
                <w:szCs w:val="20"/>
              </w:rPr>
              <w:t>5   There Was a Lot of Trash in the Sea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【海洋教育】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海 J2 認識並參與安全的海洋生態旅遊。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【戶外教育】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自然科學領域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科技領域</w:t>
            </w:r>
          </w:p>
        </w:tc>
      </w:tr>
      <w:tr w:rsidR="00B70AEB" w:rsidRPr="003F5D61" w:rsidTr="007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AEB" w:rsidRPr="00287C65" w:rsidRDefault="00B70AEB" w:rsidP="00794FE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0AEB" w:rsidRDefault="00B70AEB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11123A" w:rsidRDefault="0011123A" w:rsidP="00794FE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11123A" w:rsidRPr="009A4A2D" w:rsidRDefault="0011123A" w:rsidP="00794FE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旅遊場所、多元文化習俗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6   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We Rode a Bike to the Temple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9-IV-4 能依上下文所提供的文字線索（如in my opinion、maybe）分辨客觀事實與主觀意見。</w:t>
            </w:r>
          </w:p>
        </w:tc>
        <w:tc>
          <w:tcPr>
            <w:tcW w:w="2662" w:type="dxa"/>
            <w:gridSpan w:val="2"/>
          </w:tcPr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 w:rsidR="000C7D7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0C7D7D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多J5 了解及尊重不同文化的習俗與禁忌。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:rsidR="00B70AEB" w:rsidRPr="008A7F10" w:rsidRDefault="00B70AEB" w:rsidP="00794F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國J5 尊重與欣賞世界不同文化的價值。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EB" w:rsidRPr="008A7F10" w:rsidRDefault="00B70AEB" w:rsidP="00794FED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社會領域</w:t>
            </w:r>
          </w:p>
        </w:tc>
      </w:tr>
      <w:tr w:rsidR="00B70EB2" w:rsidRPr="003F5D61" w:rsidTr="008C3CA4">
        <w:trPr>
          <w:trHeight w:val="42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0EB2" w:rsidRPr="00287C65" w:rsidRDefault="00B70EB2" w:rsidP="00B70E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B70EB2" w:rsidRPr="00287C65" w:rsidRDefault="00B70EB2" w:rsidP="00B70E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EB2" w:rsidRDefault="00B70EB2" w:rsidP="00B70EB2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1.字典</w:t>
            </w:r>
          </w:p>
          <w:p w:rsidR="00B70EB2" w:rsidRDefault="00B70EB2" w:rsidP="00B70EB2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  <w:p w:rsidR="00B70EB2" w:rsidRDefault="00B70EB2" w:rsidP="00B70EB2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3.白紙</w:t>
            </w:r>
          </w:p>
          <w:p w:rsidR="00B70EB2" w:rsidRDefault="00B70EB2" w:rsidP="00B70EB2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4.想介紹的人物照片</w:t>
            </w:r>
          </w:p>
          <w:p w:rsidR="00B70EB2" w:rsidRDefault="00B70EB2" w:rsidP="00B70EB2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5.電子書</w:t>
            </w:r>
          </w:p>
        </w:tc>
      </w:tr>
      <w:tr w:rsidR="00B70EB2" w:rsidRPr="003F5D61" w:rsidTr="00AA5507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0EB2" w:rsidRPr="003F5D61" w:rsidRDefault="00B70EB2" w:rsidP="00B70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EB2" w:rsidRPr="003F5D61" w:rsidRDefault="00B70EB2" w:rsidP="00B70EB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D77B97">
      <w:pgSz w:w="16840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D5" w:rsidRDefault="001724D5" w:rsidP="0047709F">
      <w:r>
        <w:separator/>
      </w:r>
    </w:p>
  </w:endnote>
  <w:endnote w:type="continuationSeparator" w:id="0">
    <w:p w:rsidR="001724D5" w:rsidRDefault="001724D5" w:rsidP="0047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D5" w:rsidRDefault="001724D5" w:rsidP="0047709F">
      <w:r>
        <w:separator/>
      </w:r>
    </w:p>
  </w:footnote>
  <w:footnote w:type="continuationSeparator" w:id="0">
    <w:p w:rsidR="001724D5" w:rsidRDefault="001724D5" w:rsidP="0047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85AB9"/>
    <w:rsid w:val="000B6B1C"/>
    <w:rsid w:val="000C7D7D"/>
    <w:rsid w:val="000D4015"/>
    <w:rsid w:val="0011123A"/>
    <w:rsid w:val="001724D5"/>
    <w:rsid w:val="001916C8"/>
    <w:rsid w:val="0021629A"/>
    <w:rsid w:val="00232DFB"/>
    <w:rsid w:val="00266881"/>
    <w:rsid w:val="00287C65"/>
    <w:rsid w:val="002B0B96"/>
    <w:rsid w:val="002C6451"/>
    <w:rsid w:val="0032285F"/>
    <w:rsid w:val="00327731"/>
    <w:rsid w:val="00364207"/>
    <w:rsid w:val="003A76F4"/>
    <w:rsid w:val="003F5D61"/>
    <w:rsid w:val="0047709F"/>
    <w:rsid w:val="004F59E1"/>
    <w:rsid w:val="005071C0"/>
    <w:rsid w:val="00510B99"/>
    <w:rsid w:val="005154BB"/>
    <w:rsid w:val="0051638D"/>
    <w:rsid w:val="00521E1E"/>
    <w:rsid w:val="005607F5"/>
    <w:rsid w:val="005850E2"/>
    <w:rsid w:val="005A1488"/>
    <w:rsid w:val="005D457E"/>
    <w:rsid w:val="0064591F"/>
    <w:rsid w:val="00662E76"/>
    <w:rsid w:val="00692BBD"/>
    <w:rsid w:val="006C61ED"/>
    <w:rsid w:val="00715BE2"/>
    <w:rsid w:val="00740FE2"/>
    <w:rsid w:val="0077625B"/>
    <w:rsid w:val="00794FED"/>
    <w:rsid w:val="008749A7"/>
    <w:rsid w:val="008C3CA4"/>
    <w:rsid w:val="00990888"/>
    <w:rsid w:val="009C4417"/>
    <w:rsid w:val="00A074E2"/>
    <w:rsid w:val="00A326AA"/>
    <w:rsid w:val="00A67568"/>
    <w:rsid w:val="00A72920"/>
    <w:rsid w:val="00AA5507"/>
    <w:rsid w:val="00B1117D"/>
    <w:rsid w:val="00B70AEB"/>
    <w:rsid w:val="00B70EB2"/>
    <w:rsid w:val="00B84F16"/>
    <w:rsid w:val="00C254BF"/>
    <w:rsid w:val="00C46EF3"/>
    <w:rsid w:val="00CB1955"/>
    <w:rsid w:val="00CF3B58"/>
    <w:rsid w:val="00D0099B"/>
    <w:rsid w:val="00D76C68"/>
    <w:rsid w:val="00D77B97"/>
    <w:rsid w:val="00DA6226"/>
    <w:rsid w:val="00DE2726"/>
    <w:rsid w:val="00E04040"/>
    <w:rsid w:val="00E87B03"/>
    <w:rsid w:val="00EC4301"/>
    <w:rsid w:val="00F63D24"/>
    <w:rsid w:val="00F665FC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0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0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0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0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A3A8-97E9-42B0-81EA-F7E4DD41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2602</Words>
  <Characters>14834</Characters>
  <Application>Microsoft Office Word</Application>
  <DocSecurity>0</DocSecurity>
  <Lines>123</Lines>
  <Paragraphs>34</Paragraphs>
  <ScaleCrop>false</ScaleCrop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2021-03-17T09:38:00Z</dcterms:created>
  <dcterms:modified xsi:type="dcterms:W3CDTF">2022-05-16T03:46:00Z</dcterms:modified>
</cp:coreProperties>
</file>