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學年度領域/科目課程計畫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877.0" w:type="dxa"/>
        <w:jc w:val="center"/>
        <w:tblLayout w:type="fixed"/>
        <w:tblLook w:val="000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  <w:tblGridChange w:id="0">
          <w:tblGrid>
            <w:gridCol w:w="833"/>
            <w:gridCol w:w="1479"/>
            <w:gridCol w:w="2320"/>
            <w:gridCol w:w="5064"/>
            <w:gridCol w:w="1056"/>
            <w:gridCol w:w="3584"/>
            <w:gridCol w:w="2743"/>
            <w:gridCol w:w="2109"/>
            <w:gridCol w:w="1689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 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科技(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資訊科技□生活科技)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 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(若上下學期均開設者，請均註記)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康軒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 1   節(</w:t>
            </w: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0"/>
                <w:szCs w:val="20"/>
                <w:rtl w:val="0"/>
              </w:rPr>
              <w:t xml:space="preserve">科目對開請說明，例：家政與童軍科上下學期對開)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  運用科技工具，理解與歸納問題，進而提出簡易的解決之道。</w:t>
            </w:r>
          </w:p>
          <w:p w:rsidR="00000000" w:rsidDel="00000000" w:rsidP="00000000" w:rsidRDefault="00000000" w:rsidRPr="00000000" w14:paraId="00000024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科-J-A3  利用科技資源，擬定與執行科技專題活動。</w:t>
            </w:r>
          </w:p>
          <w:p w:rsidR="00000000" w:rsidDel="00000000" w:rsidP="00000000" w:rsidRDefault="00000000" w:rsidRPr="00000000" w14:paraId="00000025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科-J-B1  具備運用科技符號與運算思維進行日常生活的表達與溝通。</w:t>
            </w:r>
          </w:p>
          <w:p w:rsidR="00000000" w:rsidDel="00000000" w:rsidP="00000000" w:rsidRDefault="00000000" w:rsidRPr="00000000" w14:paraId="00000026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科-J-C1  理解科技與人文議題，培養科技發展衍生之守法觀念與公民意識。</w:t>
            </w:r>
          </w:p>
          <w:p w:rsidR="00000000" w:rsidDel="00000000" w:rsidP="00000000" w:rsidRDefault="00000000" w:rsidRPr="00000000" w14:paraId="00000027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科-J-A3  利用科技資源，擬定與執行科技專題活動。</w:t>
            </w:r>
          </w:p>
          <w:p w:rsidR="00000000" w:rsidDel="00000000" w:rsidP="00000000" w:rsidRDefault="00000000" w:rsidRPr="00000000" w14:paraId="00000028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科-J-C2  運用科技工具進行溝通協調及團隊合作，以完成科技專題活動。</w:t>
            </w:r>
          </w:p>
          <w:p w:rsidR="00000000" w:rsidDel="00000000" w:rsidP="00000000" w:rsidRDefault="00000000" w:rsidRPr="00000000" w14:paraId="00000029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科-J-A2  運用科技工具，理解與歸納問題，進而提出簡易的解決之道。</w:t>
            </w:r>
          </w:p>
          <w:p w:rsidR="00000000" w:rsidDel="00000000" w:rsidP="00000000" w:rsidRDefault="00000000" w:rsidRPr="00000000" w14:paraId="0000002A">
            <w:pPr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科-J-C1  理解科技與人文議題，培養科技發展衍生之守法觀念與公民意識。</w:t>
            </w:r>
          </w:p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1.認識媒體識讀、資訊科技的社會議題，包括網路成癮、網路霸凌、網路交友、網路詐騙、惡意程式等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2.認識資訊倫理的四大議題，學習良好的網路禮儀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3.認識常見的排序演算法：插入排序法、選擇排序法、氣泡排序法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4.認識常見的搜尋演算法：線性搜尋法、二元搜尋法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5.認識程式設計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PMingLiu" w:cs="PMingLiu" w:eastAsia="PMingLiu" w:hAnsi="PMingLiu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sz w:val="22"/>
                <w:szCs w:val="22"/>
                <w:rtl w:val="0"/>
              </w:rPr>
              <w:t xml:space="preserve">6.實作程式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42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45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3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第一</w:t>
            </w:r>
          </w:p>
          <w:p w:rsidR="00000000" w:rsidDel="00000000" w:rsidP="00000000" w:rsidRDefault="00000000" w:rsidRPr="00000000" w14:paraId="00000059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5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75">
            <w:pPr>
              <w:spacing w:line="396" w:lineRule="auto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學期</w:t>
            </w:r>
          </w:p>
          <w:p w:rsidR="00000000" w:rsidDel="00000000" w:rsidP="00000000" w:rsidRDefault="00000000" w:rsidRPr="00000000" w14:paraId="0000007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396" w:lineRule="auto"/>
              <w:jc w:val="center"/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第二</w:t>
            </w:r>
          </w:p>
          <w:p w:rsidR="00000000" w:rsidDel="00000000" w:rsidP="00000000" w:rsidRDefault="00000000" w:rsidRPr="00000000" w14:paraId="0000008E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學期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300" w:lineRule="auto"/>
              <w:rPr/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第1-3週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資訊與社會_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運p-IV-2能利用資訊科技與他人進行有效的互動。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運a-IV-1能落實健康的數位使用習慣與態度。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運a-IV-2能了解資訊科技相關之法律、倫理及社會議題，以保護自己與尊重他人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科-J-A1 具備良好的科技態度，並能應用科技知能，以啟發自我潛能。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資H-IV-4媒體與資訊科技相關社會議題。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資H-IV-5資訊倫理與法律。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人權教育_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人J8:了解人身自由權，並具有自我保護的知能。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法治教育_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法J3:認識法律之意義與制定。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第4-5週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1-1 資訊科技的社會議題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運p-IV-1能選用適當的資訊科技組織思維，並進行有效的表達。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第6-8週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1-2 媒體識讀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科-J-A2 運用科技工具，理解與歸納問題，進而提出簡易的解決之道。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科-J-B1 具備運用科技符號與運算思維進行日常生活的表達與溝通。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第9-11週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1-3 資訊倫理與網路禮儀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A-IV-2陣列資料結構的概念與應用。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資P-IV-3陣列程式設計實作。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第12-13週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模組化程式_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能夠正確傳達自己的設計和概念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第14-16週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2-1 正多邊形小畫家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運p-IV-2能利用資訊科技與他人進行有效的互動。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運a-IV-1能落實健康的數位使用習慣與態度。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運a-IV-2能了解資訊科技相關之法律、倫理及社會議題，以保護自己與尊重他人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科-J-A1 具備良好的科技態度，並能應用科技知能，以啟發自我潛能。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資H-IV-4媒體與資訊科技相關社會議題。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資H-IV-5資訊倫理與法律。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人權教育_</w:t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人J8:了解人身自由權，並具有自我保護的知能。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法治教育_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rtl w:val="0"/>
              </w:rPr>
              <w:t xml:space="preserve">法J3:認識法律之意義與制定。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2-2 有趣的幾何圖形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運p-IV-1能選用適當的資訊科技組織思維，並進行有效的表達。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第19-20週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陣列_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科-J-A2 運用科技工具，理解與歸納問題，進而提出簡易的解決之道。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科-J-B1 具備運用科技符號與運算思維進行日常生活的表達與溝通。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第1-4週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程式應用專題_幸運彩球</w:t>
            </w:r>
          </w:p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4-1 選號與開獎</w:t>
            </w:r>
          </w:p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4-2 彩球號碼</w:t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A-IV-2陣列資料結構的概念與應用。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資P-IV-3陣列程式設計實作。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第4-8週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排序_</w:t>
            </w:r>
          </w:p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1-1 排序演算法</w:t>
            </w:r>
          </w:p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1-2 程式實作—氣泡排序法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運p-IV-3能有系統地整理數位資源。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A-IV-2陣列資料結構的概念與應用。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資A-IV-3基本演算法的介紹。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資P-IV-3陣列程式設計實作。資P-IV-4模組化程式設計的概念。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第8-11週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搜尋_</w:t>
            </w:r>
          </w:p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2-1 搜尋演算法</w:t>
            </w:r>
          </w:p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2-2 程式實作—拍賣查詢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運p-IV-3能有系統地整理數位資源。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資A-IV-3基本演算法的介紹。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資P-IV-3陣列程式設計實作。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第12-16週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App程式設計_</w:t>
            </w:r>
          </w:p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3-1 認識MIT App Inventor</w:t>
            </w:r>
          </w:p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3-2 App實作_匯率換算</w:t>
            </w:r>
          </w:p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3-3 App實作_英文學習幫手</w:t>
            </w:r>
          </w:p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3-4 App實作_隨身資訊站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運t-IV-1能了解資訊系統的基本組成架構與運算原理。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運t-IV-2能熟悉資訊系統之使用與簡易故障排除。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運p-IV-1能選用適當的資訊科技組織思維，並進行有效的表達。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運p-IV-2能利用資訊科技與他人進行有效的互動。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第17-19週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程式應用專題_幸運彩球</w:t>
            </w:r>
          </w:p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4-1 選號與開獎</w:t>
            </w:r>
          </w:p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4-2 彩球號碼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運t-IV-3能設計資訊作品以解決生活問題。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運t-IV-4能應用運算思維解析問題。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運a-IV-3能具備探索資訊科技之興趣，不受性別限制。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A-IV-2陣列資料結構的概念與應用。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資P-IV-3陣列程式設計實作。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資P-IV-4模組化程式設計的概念。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資P-IV-5模組化程式設計與問題解決實作。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上課參與度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實際操作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課堂討論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PMingLiu" w:cs="PMingLiu" w:eastAsia="PMingLiu" w:hAnsi="PMingLiu"/>
                <w:color w:val="000000"/>
              </w:rPr>
            </w:pPr>
            <w:r w:rsidDel="00000000" w:rsidR="00000000" w:rsidRPr="00000000">
              <w:rPr>
                <w:rFonts w:ascii="PMingLiu" w:cs="PMingLiu" w:eastAsia="PMingLiu" w:hAnsi="PMingLiu"/>
                <w:color w:val="000000"/>
                <w:rtl w:val="0"/>
              </w:rPr>
              <w:t xml:space="preserve">第20週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作品評量</w:t>
            </w:r>
          </w:p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和發表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2" w:right="14" w:hanging="192"/>
              <w:jc w:val="both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能夠正確傳達自己的設計和概念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同學發表各自的成品和巧思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215" w:right="0" w:hanging="215"/>
              <w:jc w:val="both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上台發表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6F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電腦、網際網路、攝影機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1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軟體：文書軟體、Scratch、MIT App Inventor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Microsoft JhengHe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BjlqmBfPsjr26El6mvWazMYdA==">AMUW2mWOUP7dwD4+29MpdcHtQdbFQRtSetQh2drvOjteO4I1qQdWs/JS9BgHE6ymp4q0AFwJjiWFYBsPLS7tbISn6gZpcECe+p5RibmwPGs2em0/P9Cge1wqfRvtY1dhvkMoJVUchj1E0/UmZKevQ0Nv/XrzhZRJ3AT/JEQV02YdxmC05xzZF7c=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2022-05-16T11:33:00Z</dcterms:created>
  <dc:creator>t017吳明真</dc:creator>
</cp:coreProperties>
</file>